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Arial Unicode MS" w:cs="Times New Roman"/>
          <w:sz w:val="32"/>
          <w:szCs w:val="32"/>
          <w:lang w:val="en-US" w:eastAsia="zh-CN"/>
        </w:rPr>
      </w:pPr>
      <w:r>
        <w:rPr>
          <w:rFonts w:hint="default" w:ascii="Times New Roman" w:hAnsi="Times New Roman" w:eastAsia="Arial Unicode MS"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微软雅黑"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宿迁市法学会</w:t>
      </w:r>
      <w:r>
        <w:rPr>
          <w:rFonts w:hint="eastAsia" w:ascii="方正小标宋_GBK" w:hAnsi="方正小标宋_GBK" w:eastAsia="方正小标宋_GBK" w:cs="方正小标宋_GBK"/>
          <w:sz w:val="44"/>
          <w:szCs w:val="44"/>
          <w:lang w:eastAsia="zh-CN"/>
        </w:rPr>
        <w:t>2025</w:t>
      </w:r>
      <w:r>
        <w:rPr>
          <w:rFonts w:hint="eastAsia" w:ascii="方正小标宋_GBK" w:hAnsi="方正小标宋_GBK" w:eastAsia="方正小标宋_GBK" w:cs="方正小标宋_GBK"/>
          <w:sz w:val="44"/>
          <w:szCs w:val="44"/>
        </w:rPr>
        <w:t>年度市级法学研究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课题指南</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微软雅黑"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一、重点</w:t>
      </w:r>
      <w:bookmarkStart w:id="0" w:name="_GoBack"/>
      <w:bookmarkEnd w:id="0"/>
      <w:r>
        <w:rPr>
          <w:rFonts w:hint="eastAsia" w:ascii="方正黑体_GBK" w:hAnsi="方正黑体_GBK" w:eastAsia="方正黑体_GBK" w:cs="方正黑体_GBK"/>
          <w:sz w:val="32"/>
          <w:szCs w:val="32"/>
          <w:lang w:val="en-US" w:eastAsia="zh-CN"/>
        </w:rPr>
        <w:t>课题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贯彻习近平法治思想、总体国家安全观在宿迁的实践研究</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rPr>
        <w:t>营商环境“升级版”</w:t>
      </w:r>
      <w:r>
        <w:rPr>
          <w:rFonts w:hint="eastAsia" w:ascii="Times New Roman" w:hAnsi="Times New Roman" w:eastAsia="方正仿宋_GBK"/>
          <w:spacing w:val="2"/>
          <w:sz w:val="32"/>
          <w:szCs w:val="32"/>
          <w:lang w:val="en-US" w:eastAsia="zh-CN"/>
        </w:rPr>
        <w:t>的宿迁实践</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spacing w:val="2"/>
          <w:sz w:val="32"/>
          <w:szCs w:val="32"/>
          <w:lang w:val="en-US" w:eastAsia="zh-CN"/>
        </w:rPr>
        <w:t>社会治安综合治理中心规范化建设和</w:t>
      </w:r>
      <w:r>
        <w:rPr>
          <w:rFonts w:hint="eastAsia" w:ascii="Times New Roman" w:hAnsi="Times New Roman" w:eastAsia="方正仿宋_GBK"/>
          <w:spacing w:val="2"/>
          <w:sz w:val="32"/>
          <w:szCs w:val="32"/>
        </w:rPr>
        <w:t>访、调、诉衔接机制建设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酒产业知识产权法律保护研究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spacing w:val="2"/>
          <w:sz w:val="32"/>
          <w:szCs w:val="32"/>
          <w:lang w:val="en-US" w:eastAsia="zh-CN"/>
        </w:rPr>
      </w:pPr>
      <w:r>
        <w:rPr>
          <w:rFonts w:hint="eastAsia" w:ascii="方正仿宋_GBK" w:hAnsi="方正仿宋_GBK" w:eastAsia="方正仿宋_GBK" w:cs="方正仿宋_GBK"/>
          <w:sz w:val="32"/>
          <w:szCs w:val="32"/>
          <w:lang w:val="en-US" w:eastAsia="zh-CN"/>
        </w:rPr>
        <w:t>信访工作法治化宿迁实践研究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二、一般课题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以政法工作现代化服务保障中国式现代化的理论逻辑与宿迁实践路径研究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优化本地法治化营商环境，护航新质生产力发展实践研究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地方民营经济发展法治保障机制研究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专门学校规范化建设，加强未成年人违法犯罪综合治理实践研究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公正执法司法体制机制及实践研究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新时代“枫桥经验”、多元化解矛盾风险等社会治理创新研究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区域协同立法工作机制及其优化研究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宿迁市涉外法治建设实践与发展研究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网络安全风险和治理研究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rPr>
      </w:pPr>
      <w:r>
        <w:rPr>
          <w:rFonts w:hint="eastAsia" w:ascii="方正仿宋_GBK" w:hAnsi="方正仿宋_GBK" w:eastAsia="方正仿宋_GBK" w:cs="方正仿宋_GBK"/>
          <w:sz w:val="32"/>
          <w:szCs w:val="32"/>
          <w:lang w:val="en-US" w:eastAsia="zh-CN"/>
        </w:rPr>
        <w:t>涉及民生保障的法治理论和实践问题研究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其他经市法学会审核批准的自选课题（题目自拟）</w:t>
      </w: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pPr>
        <w:rPr>
          <w:rFonts w:hint="default" w:ascii="Times New Roman" w:hAnsi="Times New Roman" w:eastAsia="宋体-方正超大字符集" w:cs="Times New Roman"/>
          <w:sz w:val="32"/>
          <w:szCs w:val="32"/>
          <w:lang w:val="en-US" w:eastAsia="zh-CN"/>
        </w:rPr>
      </w:pPr>
    </w:p>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zQ2N2Y5MWY1MGFkMmU3N2M3OGM1NjEwNjAyMjcifQ=="/>
  </w:docVars>
  <w:rsids>
    <w:rsidRoot w:val="38D32D62"/>
    <w:rsid w:val="1F2C36C6"/>
    <w:rsid w:val="38D3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2025-04-14T06:07:00Z</dcterms:created>
  <dc:creator>淑亭</dc:creator>
  <cp:lastModifiedBy>淑亭</cp:lastModifiedBy>
  <dcterms:modified xsi:type="dcterms:W3CDTF">2025-04-14T06:08:39Z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C3B9BAC9C6AE4D1CA59DE789329CFD64_11</vt:lpwstr>
  </property>
</Properties>
</file>